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9767241"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w:t>
      </w:r>
      <w:r w:rsidR="00141F9B">
        <w:rPr>
          <w:rFonts w:ascii="Arial" w:hAnsi="Arial"/>
          <w:b/>
          <w:noProof/>
          <w:sz w:val="24"/>
        </w:rPr>
        <w:t>20</w:t>
      </w:r>
      <w:r w:rsidRPr="004F70AD">
        <w:rPr>
          <w:rFonts w:ascii="Arial" w:hAnsi="Arial"/>
          <w:b/>
          <w:i/>
          <w:noProof/>
          <w:sz w:val="28"/>
        </w:rPr>
        <w:tab/>
      </w:r>
      <w:r w:rsidR="00FD00BD" w:rsidRPr="00FD00BD">
        <w:rPr>
          <w:rFonts w:ascii="Arial" w:hAnsi="Arial"/>
          <w:b/>
          <w:i/>
          <w:noProof/>
          <w:sz w:val="28"/>
          <w:lang w:eastAsia="ko-KR"/>
        </w:rPr>
        <w:t>R2-2211768</w:t>
      </w:r>
      <w:bookmarkStart w:id="0" w:name="_GoBack"/>
      <w:bookmarkEnd w:id="0"/>
    </w:p>
    <w:p w14:paraId="243BA821" w14:textId="52547226" w:rsidR="00A62464" w:rsidRPr="003F16D2" w:rsidRDefault="00141F9B" w:rsidP="00A62464">
      <w:pPr>
        <w:widowControl w:val="0"/>
        <w:tabs>
          <w:tab w:val="left" w:pos="1701"/>
          <w:tab w:val="right" w:pos="9923"/>
        </w:tabs>
        <w:spacing w:before="120" w:after="0"/>
        <w:rPr>
          <w:rFonts w:ascii="Arial" w:hAnsi="Arial"/>
          <w:b/>
          <w:i/>
          <w:noProof/>
          <w:sz w:val="28"/>
          <w:lang w:eastAsia="ko-KR"/>
        </w:rPr>
      </w:pPr>
      <w:r>
        <w:rPr>
          <w:rFonts w:ascii="Arial" w:hAnsi="Arial" w:hint="eastAsia"/>
          <w:b/>
          <w:noProof/>
          <w:sz w:val="24"/>
          <w:lang w:eastAsia="ko-KR"/>
        </w:rPr>
        <w:t>Toulouse</w:t>
      </w:r>
      <w:r w:rsidR="00A62464" w:rsidRPr="002C2514">
        <w:rPr>
          <w:rFonts w:ascii="Arial" w:hAnsi="Arial"/>
          <w:b/>
          <w:noProof/>
          <w:sz w:val="24"/>
        </w:rPr>
        <w:t>,</w:t>
      </w:r>
      <w:r>
        <w:rPr>
          <w:rFonts w:ascii="Arial" w:hAnsi="Arial"/>
          <w:b/>
          <w:noProof/>
          <w:sz w:val="24"/>
        </w:rPr>
        <w:t xml:space="preserve"> France,</w:t>
      </w:r>
      <w:r w:rsidR="00A62464" w:rsidRPr="002C2514">
        <w:rPr>
          <w:rFonts w:ascii="Arial" w:hAnsi="Arial"/>
          <w:b/>
          <w:noProof/>
          <w:sz w:val="24"/>
        </w:rPr>
        <w:t xml:space="preserve"> </w:t>
      </w:r>
      <w:r>
        <w:rPr>
          <w:rFonts w:ascii="Arial" w:hAnsi="Arial"/>
          <w:b/>
          <w:noProof/>
          <w:sz w:val="24"/>
        </w:rPr>
        <w:t>November 14</w:t>
      </w:r>
      <w:r w:rsidR="00A62464" w:rsidRPr="002C2514">
        <w:rPr>
          <w:rFonts w:ascii="Arial" w:hAnsi="Arial"/>
          <w:b/>
          <w:noProof/>
          <w:sz w:val="24"/>
        </w:rPr>
        <w:t xml:space="preserve"> – </w:t>
      </w:r>
      <w:r>
        <w:rPr>
          <w:rFonts w:ascii="Arial" w:hAnsi="Arial"/>
          <w:b/>
          <w:noProof/>
          <w:sz w:val="24"/>
        </w:rPr>
        <w:t>November</w:t>
      </w:r>
      <w:r w:rsidR="00A62464" w:rsidRPr="002C2514">
        <w:rPr>
          <w:rFonts w:ascii="Arial" w:hAnsi="Arial"/>
          <w:b/>
          <w:noProof/>
          <w:sz w:val="24"/>
        </w:rPr>
        <w:t xml:space="preserve"> </w:t>
      </w:r>
      <w:r w:rsidR="0049709F">
        <w:rPr>
          <w:rFonts w:ascii="Arial" w:hAnsi="Arial"/>
          <w:b/>
          <w:noProof/>
          <w:sz w:val="24"/>
        </w:rPr>
        <w:t>1</w:t>
      </w:r>
      <w:r>
        <w:rPr>
          <w:rFonts w:ascii="Arial" w:hAnsi="Arial"/>
          <w:b/>
          <w:noProof/>
          <w:sz w:val="24"/>
        </w:rPr>
        <w:t>8</w:t>
      </w:r>
      <w:r w:rsidR="00A62464" w:rsidRPr="002C2514">
        <w:rPr>
          <w:rFonts w:ascii="Arial" w:hAnsi="Arial"/>
          <w:b/>
          <w:noProof/>
          <w:sz w:val="24"/>
        </w:rPr>
        <w:t>, 202</w:t>
      </w:r>
      <w:r w:rsidR="00B37B2D">
        <w:rPr>
          <w:rFonts w:ascii="Arial" w:hAnsi="Arial"/>
          <w:b/>
          <w:noProof/>
          <w:sz w:val="24"/>
        </w:rPr>
        <w:t>2</w:t>
      </w:r>
      <w:r w:rsidR="00A62464" w:rsidRPr="00815EC9">
        <w:rPr>
          <w:rFonts w:ascii="Arial" w:eastAsia="MS Mincho" w:hAnsi="Arial"/>
          <w:b/>
          <w:sz w:val="24"/>
          <w:szCs w:val="24"/>
          <w:lang w:eastAsia="x-none"/>
        </w:rPr>
        <w:t xml:space="preserve"> </w:t>
      </w:r>
      <w:r w:rsidR="00A62464">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20DB3987"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r w:rsidR="00557497">
        <w:rPr>
          <w:rFonts w:ascii="Arial" w:hAnsi="Arial" w:cs="Arial"/>
          <w:b/>
          <w:noProof/>
          <w:sz w:val="28"/>
          <w:szCs w:val="28"/>
          <w:lang w:val="en-US"/>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4167B33D"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1A34D9">
        <w:rPr>
          <w:rFonts w:ascii="Arial" w:hAnsi="Arial" w:cs="Arial"/>
          <w:b/>
          <w:noProof/>
          <w:sz w:val="28"/>
          <w:szCs w:val="28"/>
          <w:lang w:val="en-US" w:eastAsia="ko-KR"/>
        </w:rPr>
        <w:t>NTN-TN cell reselection enhancements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3B9ECF0" w14:textId="77777777" w:rsidR="00BB53FD" w:rsidRDefault="00BB53FD" w:rsidP="00194531">
      <w:pPr>
        <w:spacing w:before="180"/>
        <w:ind w:firstLineChars="100" w:firstLine="200"/>
        <w:rPr>
          <w:bCs/>
          <w:lang w:eastAsia="ko-KR"/>
        </w:rPr>
      </w:pPr>
      <w:r>
        <w:rPr>
          <w:rFonts w:hint="eastAsia"/>
          <w:bCs/>
          <w:lang w:eastAsia="ko-KR"/>
        </w:rPr>
        <w:t xml:space="preserve">In </w:t>
      </w:r>
      <w:r>
        <w:rPr>
          <w:bCs/>
          <w:lang w:eastAsia="ko-KR"/>
        </w:rPr>
        <w:t>RAN2#119bis-e meeting, following agreements are made.</w:t>
      </w:r>
    </w:p>
    <w:tbl>
      <w:tblPr>
        <w:tblStyle w:val="af4"/>
        <w:tblW w:w="0" w:type="auto"/>
        <w:tblLook w:val="04A0" w:firstRow="1" w:lastRow="0" w:firstColumn="1" w:lastColumn="0" w:noHBand="0" w:noVBand="1"/>
      </w:tblPr>
      <w:tblGrid>
        <w:gridCol w:w="9629"/>
      </w:tblGrid>
      <w:tr w:rsidR="00BB53FD" w14:paraId="4CCCDAFD" w14:textId="77777777" w:rsidTr="00A65404">
        <w:tc>
          <w:tcPr>
            <w:tcW w:w="9629" w:type="dxa"/>
          </w:tcPr>
          <w:p w14:paraId="5EC369CF" w14:textId="77777777" w:rsidR="00BB53FD" w:rsidRDefault="00BB53FD" w:rsidP="00A65404">
            <w:pPr>
              <w:spacing w:before="180"/>
              <w:rPr>
                <w:bCs/>
                <w:lang w:eastAsia="ko-KR"/>
              </w:rPr>
            </w:pPr>
            <w:r>
              <w:rPr>
                <w:rFonts w:hint="eastAsia"/>
                <w:bCs/>
                <w:lang w:eastAsia="ko-KR"/>
              </w:rPr>
              <w:t>R</w:t>
            </w:r>
            <w:r>
              <w:rPr>
                <w:bCs/>
                <w:lang w:eastAsia="ko-KR"/>
              </w:rPr>
              <w:t>AN2#119bis-e agreements:</w:t>
            </w:r>
          </w:p>
          <w:p w14:paraId="0FD7FB47" w14:textId="4346F657" w:rsidR="00BB53FD" w:rsidRDefault="00BB53FD" w:rsidP="00A65404">
            <w:pPr>
              <w:spacing w:before="180"/>
              <w:rPr>
                <w:bCs/>
                <w:lang w:eastAsia="ko-KR"/>
              </w:rPr>
            </w:pPr>
            <w:r>
              <w:rPr>
                <w:bCs/>
                <w:lang w:eastAsia="ko-KR"/>
              </w:rPr>
              <w:t xml:space="preserve">1. </w:t>
            </w:r>
            <w:r w:rsidRPr="00BB53FD">
              <w:rPr>
                <w:bCs/>
                <w:lang w:eastAsia="ko-KR"/>
              </w:rPr>
              <w:t xml:space="preserve">To enhance NTN-TN cell reselection, means are defined for a UE to differentiate when camping in an area only covered by NTN network (earth-moving or earth-fixed) </w:t>
            </w:r>
            <w:proofErr w:type="spellStart"/>
            <w:r w:rsidRPr="00BB53FD">
              <w:rPr>
                <w:bCs/>
                <w:lang w:eastAsia="ko-KR"/>
              </w:rPr>
              <w:t>vs</w:t>
            </w:r>
            <w:proofErr w:type="spellEnd"/>
            <w:r w:rsidRPr="00BB53FD">
              <w:rPr>
                <w:bCs/>
                <w:lang w:eastAsia="ko-KR"/>
              </w:rPr>
              <w:t xml:space="preserve"> an area where TN network(s) is/are also available.</w:t>
            </w:r>
          </w:p>
          <w:p w14:paraId="78D6356F" w14:textId="0B4D46EF" w:rsidR="00BB53FD" w:rsidRPr="00BB53FD" w:rsidRDefault="00BB53FD" w:rsidP="00A65404">
            <w:pPr>
              <w:spacing w:before="180"/>
              <w:rPr>
                <w:bCs/>
                <w:lang w:eastAsia="ko-KR"/>
              </w:rPr>
            </w:pPr>
            <w:r>
              <w:rPr>
                <w:bCs/>
                <w:lang w:eastAsia="ko-KR"/>
              </w:rPr>
              <w:t xml:space="preserve">2. </w:t>
            </w:r>
            <w:r w:rsidRPr="00627D80">
              <w:rPr>
                <w:bCs/>
                <w:lang w:eastAsia="ko-KR"/>
              </w:rPr>
              <w:t>UE is not required to perform neighbour cell measurements for TN neighbour cells in an area where there is no TN network coverage.</w:t>
            </w:r>
          </w:p>
        </w:tc>
      </w:tr>
    </w:tbl>
    <w:p w14:paraId="7668169F" w14:textId="1EA411CD" w:rsidR="00627D80" w:rsidRPr="000448EE" w:rsidRDefault="00BB53FD" w:rsidP="00194531">
      <w:pPr>
        <w:spacing w:before="180"/>
        <w:ind w:firstLineChars="100" w:firstLine="200"/>
        <w:rPr>
          <w:bCs/>
          <w:lang w:eastAsia="ko-KR"/>
        </w:rPr>
      </w:pPr>
      <w:r>
        <w:rPr>
          <w:bCs/>
          <w:lang w:eastAsia="ko-KR"/>
        </w:rPr>
        <w:t xml:space="preserve">In this </w:t>
      </w:r>
      <w:r w:rsidR="008B3EE6">
        <w:rPr>
          <w:bCs/>
          <w:lang w:eastAsia="ko-KR"/>
        </w:rPr>
        <w:t>contribution</w:t>
      </w:r>
      <w:r>
        <w:rPr>
          <w:bCs/>
          <w:lang w:eastAsia="ko-KR"/>
        </w:rPr>
        <w:t xml:space="preserve">, we discuss </w:t>
      </w:r>
      <w:r w:rsidR="00194531">
        <w:rPr>
          <w:bCs/>
          <w:lang w:eastAsia="ko-KR"/>
        </w:rPr>
        <w:t>measurement relaxation on TN frequency when UE camps on an area only covered by NTN cell</w:t>
      </w:r>
      <w:r>
        <w:rPr>
          <w:bCs/>
          <w:lang w:eastAsia="ko-KR"/>
        </w:rPr>
        <w:t xml:space="preserve">. </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36988E11" w14:textId="6E9DF39A" w:rsidR="00BB53FD" w:rsidRDefault="00194531" w:rsidP="007C6BD5">
      <w:pPr>
        <w:ind w:firstLineChars="100" w:firstLine="200"/>
        <w:jc w:val="both"/>
        <w:rPr>
          <w:lang w:eastAsia="ko-KR"/>
        </w:rPr>
      </w:pPr>
      <w:r>
        <w:rPr>
          <w:lang w:eastAsia="ko-KR"/>
        </w:rPr>
        <w:t xml:space="preserve">As agreed in </w:t>
      </w:r>
      <w:r w:rsidR="00042A65">
        <w:rPr>
          <w:lang w:eastAsia="ko-KR"/>
        </w:rPr>
        <w:t xml:space="preserve">the </w:t>
      </w:r>
      <w:r>
        <w:rPr>
          <w:lang w:eastAsia="ko-KR"/>
        </w:rPr>
        <w:t xml:space="preserve">last meeting, NTN cell should broadcast information to UEs </w:t>
      </w:r>
      <w:r w:rsidR="00042A65">
        <w:rPr>
          <w:lang w:eastAsia="ko-KR"/>
        </w:rPr>
        <w:t xml:space="preserve">on </w:t>
      </w:r>
      <w:r>
        <w:rPr>
          <w:lang w:eastAsia="ko-KR"/>
        </w:rPr>
        <w:t>whether the UEs are able to not perform TN frequ</w:t>
      </w:r>
      <w:r w:rsidR="00B04886">
        <w:rPr>
          <w:lang w:eastAsia="ko-KR"/>
        </w:rPr>
        <w:t>e</w:t>
      </w:r>
      <w:r>
        <w:rPr>
          <w:lang w:eastAsia="ko-KR"/>
        </w:rPr>
        <w:t xml:space="preserve">ncy measurement. The NTN cell </w:t>
      </w:r>
      <w:r w:rsidR="00B04886">
        <w:rPr>
          <w:lang w:eastAsia="ko-KR"/>
        </w:rPr>
        <w:t xml:space="preserve">may convey </w:t>
      </w:r>
      <w:r>
        <w:rPr>
          <w:lang w:eastAsia="ko-KR"/>
        </w:rPr>
        <w:t xml:space="preserve">the information via SIB19 because TN cell measurement relaxation is NTN-specific feature. </w:t>
      </w:r>
    </w:p>
    <w:p w14:paraId="2D41A571" w14:textId="2F5B956B" w:rsidR="00194531" w:rsidRDefault="00B04886" w:rsidP="008E6C59">
      <w:pPr>
        <w:ind w:left="1374" w:hangingChars="700" w:hanging="1374"/>
        <w:jc w:val="both"/>
        <w:rPr>
          <w:lang w:eastAsia="ko-KR"/>
        </w:rPr>
      </w:pPr>
      <w:r w:rsidRPr="008E6C59">
        <w:rPr>
          <w:b/>
          <w:lang w:val="en-US" w:eastAsia="ko-KR"/>
        </w:rPr>
        <w:t>Observation</w:t>
      </w:r>
      <w:r w:rsidR="00D876CA">
        <w:rPr>
          <w:b/>
          <w:lang w:val="en-US" w:eastAsia="ko-KR"/>
        </w:rPr>
        <w:t xml:space="preserve"> 1</w:t>
      </w:r>
      <w:r w:rsidR="008E6C59">
        <w:rPr>
          <w:b/>
          <w:lang w:val="en-US" w:eastAsia="ko-KR"/>
        </w:rPr>
        <w:tab/>
      </w:r>
      <w:r w:rsidR="00194531" w:rsidRPr="008E6C59">
        <w:rPr>
          <w:b/>
          <w:lang w:val="en-US" w:eastAsia="ko-KR"/>
        </w:rPr>
        <w:t>NTN cell broadcasts information to UEs whether the UEs are able to not perform TN frequency measurement via SIB19.</w:t>
      </w:r>
    </w:p>
    <w:p w14:paraId="20704833" w14:textId="431072AC" w:rsidR="00BB53FD" w:rsidRDefault="00B04886" w:rsidP="007C6BD5">
      <w:pPr>
        <w:ind w:firstLineChars="100" w:firstLine="200"/>
        <w:jc w:val="both"/>
        <w:rPr>
          <w:lang w:eastAsia="ko-KR"/>
        </w:rPr>
      </w:pPr>
      <w:r>
        <w:rPr>
          <w:lang w:eastAsia="ko-KR"/>
        </w:rPr>
        <w:t>The options how to represent the information were proposed in RAN2#119bis-e email discussion [117].</w:t>
      </w:r>
    </w:p>
    <w:tbl>
      <w:tblPr>
        <w:tblStyle w:val="af4"/>
        <w:tblW w:w="0" w:type="auto"/>
        <w:tblLook w:val="04A0" w:firstRow="1" w:lastRow="0" w:firstColumn="1" w:lastColumn="0" w:noHBand="0" w:noVBand="1"/>
      </w:tblPr>
      <w:tblGrid>
        <w:gridCol w:w="9629"/>
      </w:tblGrid>
      <w:tr w:rsidR="00194531" w:rsidRPr="00194531" w14:paraId="0D609D3A" w14:textId="77777777" w:rsidTr="00194531">
        <w:tc>
          <w:tcPr>
            <w:tcW w:w="9629" w:type="dxa"/>
          </w:tcPr>
          <w:p w14:paraId="586EC416" w14:textId="77777777" w:rsidR="00194531" w:rsidRPr="00194531" w:rsidRDefault="00194531" w:rsidP="00194531">
            <w:pPr>
              <w:rPr>
                <w:rFonts w:eastAsia="맑은 고딕"/>
                <w:b/>
                <w:bCs/>
                <w:szCs w:val="22"/>
              </w:rPr>
            </w:pPr>
            <w:r w:rsidRPr="00194531">
              <w:rPr>
                <w:rFonts w:eastAsia="맑은 고딕"/>
                <w:b/>
                <w:bCs/>
                <w:szCs w:val="22"/>
              </w:rPr>
              <w:t>Proposal 8: Regarding the Assistance information for UE to identify an area where TN network is available, the following options can be further discussed:</w:t>
            </w:r>
          </w:p>
          <w:p w14:paraId="2C655B08" w14:textId="77777777" w:rsidR="00194531" w:rsidRPr="00194531" w:rsidRDefault="00194531" w:rsidP="00194531">
            <w:pPr>
              <w:numPr>
                <w:ilvl w:val="0"/>
                <w:numId w:val="33"/>
              </w:numPr>
              <w:contextualSpacing/>
              <w:rPr>
                <w:rFonts w:eastAsia="맑은 고딕"/>
                <w:b/>
                <w:bCs/>
                <w:szCs w:val="22"/>
              </w:rPr>
            </w:pPr>
            <w:r w:rsidRPr="00194531">
              <w:rPr>
                <w:rFonts w:eastAsia="맑은 고딕"/>
                <w:b/>
                <w:bCs/>
                <w:szCs w:val="22"/>
              </w:rPr>
              <w:t>The cell center and cell radius of TN neighbour cells, or in other terms, the reference location and a distance threshold of TN neighbour cells</w:t>
            </w:r>
          </w:p>
          <w:p w14:paraId="47620FFB" w14:textId="77777777" w:rsidR="00194531" w:rsidRPr="00194531" w:rsidRDefault="00194531" w:rsidP="00194531">
            <w:pPr>
              <w:numPr>
                <w:ilvl w:val="0"/>
                <w:numId w:val="33"/>
              </w:numPr>
              <w:contextualSpacing/>
              <w:rPr>
                <w:rFonts w:eastAsia="맑은 고딕"/>
                <w:b/>
                <w:bCs/>
                <w:szCs w:val="22"/>
              </w:rPr>
            </w:pPr>
            <w:r w:rsidRPr="00194531">
              <w:rPr>
                <w:rFonts w:eastAsia="맑은 고딕"/>
                <w:b/>
                <w:bCs/>
                <w:szCs w:val="22"/>
              </w:rPr>
              <w:t>The boundary line between TN area and NTN area</w:t>
            </w:r>
          </w:p>
          <w:p w14:paraId="180BF45E" w14:textId="77777777" w:rsidR="00194531" w:rsidRPr="00194531" w:rsidRDefault="00194531" w:rsidP="00194531">
            <w:pPr>
              <w:numPr>
                <w:ilvl w:val="0"/>
                <w:numId w:val="33"/>
              </w:numPr>
              <w:contextualSpacing/>
              <w:rPr>
                <w:rFonts w:eastAsia="맑은 고딕"/>
                <w:b/>
                <w:bCs/>
                <w:szCs w:val="22"/>
              </w:rPr>
            </w:pPr>
            <w:r w:rsidRPr="00194531">
              <w:rPr>
                <w:rFonts w:eastAsia="맑은 고딕"/>
                <w:b/>
                <w:bCs/>
                <w:szCs w:val="22"/>
              </w:rPr>
              <w:t>For quasi-earth fixed cells, TN coverage is described by a distance range from the cell center and an angle range based on a reference direction</w:t>
            </w:r>
          </w:p>
          <w:p w14:paraId="1DAA6802" w14:textId="77777777" w:rsidR="00194531" w:rsidRPr="00194531" w:rsidRDefault="00194531" w:rsidP="00194531">
            <w:pPr>
              <w:numPr>
                <w:ilvl w:val="0"/>
                <w:numId w:val="33"/>
              </w:numPr>
              <w:contextualSpacing/>
              <w:rPr>
                <w:rFonts w:eastAsia="맑은 고딕"/>
                <w:b/>
                <w:bCs/>
                <w:szCs w:val="22"/>
              </w:rPr>
            </w:pPr>
            <w:r w:rsidRPr="00194531">
              <w:rPr>
                <w:rFonts w:eastAsia="맑은 고딕"/>
                <w:b/>
                <w:bCs/>
                <w:szCs w:val="22"/>
              </w:rPr>
              <w:t>An indication could be included in system information to indicate NTN cell’s coverage overlaps with terrestrial TN cell’s coverage</w:t>
            </w:r>
          </w:p>
          <w:p w14:paraId="6B3A0416" w14:textId="77777777" w:rsidR="00194531" w:rsidRDefault="00194531" w:rsidP="00194531">
            <w:pPr>
              <w:numPr>
                <w:ilvl w:val="0"/>
                <w:numId w:val="33"/>
              </w:numPr>
              <w:contextualSpacing/>
              <w:rPr>
                <w:rFonts w:eastAsia="맑은 고딕"/>
                <w:b/>
                <w:bCs/>
                <w:szCs w:val="22"/>
              </w:rPr>
            </w:pPr>
            <w:r w:rsidRPr="00194531">
              <w:rPr>
                <w:rFonts w:eastAsia="맑은 고딕"/>
                <w:b/>
                <w:bCs/>
                <w:szCs w:val="22"/>
              </w:rPr>
              <w:t>NTN cell can be divided to several virtual areas based on certain criteria. The virtual areas and the corresponding TN frequency information are broadcast as assistance information to help UE perform more accurate TN measurements.</w:t>
            </w:r>
          </w:p>
          <w:p w14:paraId="183D93ED" w14:textId="2BBBB927" w:rsidR="00194531" w:rsidRPr="00194531" w:rsidRDefault="00194531" w:rsidP="00194531">
            <w:pPr>
              <w:numPr>
                <w:ilvl w:val="0"/>
                <w:numId w:val="33"/>
              </w:numPr>
              <w:contextualSpacing/>
              <w:rPr>
                <w:rFonts w:eastAsia="맑은 고딕"/>
                <w:b/>
                <w:bCs/>
                <w:szCs w:val="22"/>
              </w:rPr>
            </w:pPr>
            <w:r w:rsidRPr="00194531">
              <w:rPr>
                <w:rFonts w:eastAsia="맑은 고딕"/>
                <w:b/>
                <w:bCs/>
                <w:szCs w:val="22"/>
              </w:rPr>
              <w:t>Introduce a parameter using the polygon shape captured in TS 23.032 to describe the coverage area of a TN neighbour cell.</w:t>
            </w:r>
          </w:p>
        </w:tc>
      </w:tr>
    </w:tbl>
    <w:p w14:paraId="197D2343" w14:textId="67E4E726" w:rsidR="00194531" w:rsidRPr="00E061E3" w:rsidRDefault="00153115" w:rsidP="00E061E3">
      <w:pPr>
        <w:spacing w:before="180"/>
        <w:ind w:firstLineChars="100" w:firstLine="200"/>
        <w:rPr>
          <w:bCs/>
          <w:lang w:eastAsia="ko-KR"/>
        </w:rPr>
      </w:pPr>
      <w:r w:rsidRPr="00E061E3">
        <w:rPr>
          <w:bCs/>
          <w:lang w:eastAsia="ko-KR"/>
        </w:rPr>
        <w:t xml:space="preserve">The companies exposed their views on this, and most supported option 1. The assistance information is intuitive to UE, i.e., if UE locates outside of the coverage, UE is able to not perform measurement on TN neighbor cells. However, there are concerns about broadcasting direct TN coverage. It may cause a security issue, as pointed out in the email discussion. Accurate cell coverage is confident for mobile network operators. Therefore, we propose to revise option 1 </w:t>
      </w:r>
      <w:r w:rsidRPr="00E061E3">
        <w:rPr>
          <w:bCs/>
          <w:lang w:eastAsia="ko-KR"/>
        </w:rPr>
        <w:lastRenderedPageBreak/>
        <w:t>as “The reference location and a distance threshold. The assistance information indicates an area only covered by NTN.”</w:t>
      </w:r>
    </w:p>
    <w:p w14:paraId="7F391787" w14:textId="5D355C39" w:rsidR="00153115" w:rsidRDefault="00153115" w:rsidP="00F50681">
      <w:pPr>
        <w:ind w:firstLineChars="100" w:firstLine="200"/>
        <w:jc w:val="both"/>
        <w:rPr>
          <w:lang w:eastAsia="ko-KR"/>
        </w:rPr>
      </w:pPr>
      <w:r>
        <w:rPr>
          <w:rFonts w:hint="eastAsia"/>
          <w:lang w:eastAsia="ko-KR"/>
        </w:rPr>
        <w:t xml:space="preserve">Regarding option 5, second majority, </w:t>
      </w:r>
      <w:r>
        <w:rPr>
          <w:lang w:eastAsia="ko-KR"/>
        </w:rPr>
        <w:t xml:space="preserve">RAN2 has to discuss a </w:t>
      </w:r>
      <w:r>
        <w:rPr>
          <w:rFonts w:hint="eastAsia"/>
          <w:lang w:eastAsia="ko-KR"/>
        </w:rPr>
        <w:t xml:space="preserve">representation of </w:t>
      </w:r>
      <w:r>
        <w:rPr>
          <w:lang w:eastAsia="ko-KR"/>
        </w:rPr>
        <w:t xml:space="preserve">virtual area, in which the discussion is </w:t>
      </w:r>
      <w:r>
        <w:rPr>
          <w:rFonts w:hint="eastAsia"/>
          <w:lang w:eastAsia="ko-KR"/>
        </w:rPr>
        <w:t xml:space="preserve">duplicated. </w:t>
      </w:r>
      <w:r w:rsidR="00EC7BEA">
        <w:rPr>
          <w:lang w:eastAsia="ko-KR"/>
        </w:rPr>
        <w:t>We think that the simplest assistance information</w:t>
      </w:r>
      <w:r>
        <w:rPr>
          <w:lang w:eastAsia="ko-KR"/>
        </w:rPr>
        <w:t xml:space="preserve"> is revised option 1.</w:t>
      </w:r>
    </w:p>
    <w:p w14:paraId="0AAE90CE" w14:textId="6A54A42D" w:rsidR="00F50681" w:rsidRPr="008E6C59" w:rsidRDefault="00153115" w:rsidP="008E6C59">
      <w:pPr>
        <w:ind w:left="1374" w:hangingChars="700" w:hanging="1374"/>
        <w:jc w:val="both"/>
        <w:rPr>
          <w:b/>
          <w:lang w:val="en-US" w:eastAsia="ko-KR"/>
        </w:rPr>
      </w:pPr>
      <w:r>
        <w:rPr>
          <w:b/>
          <w:lang w:val="en-US" w:eastAsia="ko-KR"/>
        </w:rPr>
        <w:t>Observation 2</w:t>
      </w:r>
      <w:r w:rsidR="008E6C59">
        <w:rPr>
          <w:b/>
          <w:lang w:val="en-US" w:eastAsia="ko-KR"/>
        </w:rPr>
        <w:tab/>
      </w:r>
      <w:r w:rsidR="00F50681" w:rsidRPr="008E6C59">
        <w:rPr>
          <w:b/>
          <w:lang w:val="en-US" w:eastAsia="ko-KR"/>
        </w:rPr>
        <w:t xml:space="preserve">Broadcasting direct TN coverage may </w:t>
      </w:r>
      <w:r w:rsidR="00042A65">
        <w:rPr>
          <w:b/>
          <w:lang w:val="en-US" w:eastAsia="ko-KR"/>
        </w:rPr>
        <w:t>cause security issue</w:t>
      </w:r>
      <w:r w:rsidR="00F50681" w:rsidRPr="008E6C59">
        <w:rPr>
          <w:b/>
          <w:lang w:val="en-US" w:eastAsia="ko-KR"/>
        </w:rPr>
        <w:t xml:space="preserve">, </w:t>
      </w:r>
      <w:r w:rsidR="00042A65">
        <w:rPr>
          <w:b/>
          <w:lang w:val="en-US" w:eastAsia="ko-KR"/>
        </w:rPr>
        <w:t>in which accurate cell coverage information is confidential for mobile network operator.</w:t>
      </w:r>
    </w:p>
    <w:p w14:paraId="2C8C6417" w14:textId="7EB98BBD" w:rsidR="0071393D" w:rsidRPr="0071393D" w:rsidRDefault="00153115" w:rsidP="0071393D">
      <w:pPr>
        <w:ind w:left="1374" w:hangingChars="700" w:hanging="1374"/>
        <w:jc w:val="both"/>
        <w:rPr>
          <w:b/>
          <w:lang w:val="en-US" w:eastAsia="ko-KR"/>
        </w:rPr>
      </w:pPr>
      <w:r>
        <w:rPr>
          <w:rFonts w:hint="eastAsia"/>
          <w:b/>
          <w:lang w:val="en-US" w:eastAsia="ko-KR"/>
        </w:rPr>
        <w:t>Proposal 1</w:t>
      </w:r>
      <w:r w:rsidR="008E6C59">
        <w:rPr>
          <w:b/>
          <w:lang w:val="en-US" w:eastAsia="ko-KR"/>
        </w:rPr>
        <w:tab/>
      </w:r>
      <w:r w:rsidR="008E6C59" w:rsidRPr="008E6C59">
        <w:rPr>
          <w:rFonts w:hint="eastAsia"/>
          <w:b/>
          <w:lang w:val="en-US" w:eastAsia="ko-KR"/>
        </w:rPr>
        <w:t xml:space="preserve">The NTN cell provides an assistance information indicating an area only covered by NTN. </w:t>
      </w:r>
      <w:r w:rsidR="008E6C59" w:rsidRPr="008E6C59">
        <w:rPr>
          <w:b/>
          <w:lang w:val="en-US" w:eastAsia="ko-KR"/>
        </w:rPr>
        <w:t>The assistance information consists of t</w:t>
      </w:r>
      <w:r w:rsidR="008E6C59" w:rsidRPr="008E6C59">
        <w:rPr>
          <w:rFonts w:hint="eastAsia"/>
          <w:b/>
          <w:lang w:val="en-US" w:eastAsia="ko-KR"/>
        </w:rPr>
        <w:t xml:space="preserve">he reference location and distance </w:t>
      </w:r>
      <w:r w:rsidR="008E6C59" w:rsidRPr="008E6C59">
        <w:rPr>
          <w:b/>
          <w:lang w:val="en-US" w:eastAsia="ko-KR"/>
        </w:rPr>
        <w:t>threshold</w:t>
      </w:r>
      <w:r w:rsidR="008E6C59" w:rsidRPr="008E6C59">
        <w:rPr>
          <w:rFonts w:hint="eastAsia"/>
          <w:b/>
          <w:lang w:val="en-US"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36FDAD62" w14:textId="5B2AF1B7" w:rsidR="00260FAF" w:rsidRDefault="00260FAF" w:rsidP="00260FAF">
      <w:pPr>
        <w:ind w:left="1374" w:hangingChars="700" w:hanging="1374"/>
        <w:jc w:val="both"/>
        <w:rPr>
          <w:b/>
          <w:lang w:val="en-US" w:eastAsia="ko-KR"/>
        </w:rPr>
      </w:pPr>
      <w:r w:rsidRPr="008E6C59">
        <w:rPr>
          <w:b/>
          <w:lang w:val="en-US" w:eastAsia="ko-KR"/>
        </w:rPr>
        <w:t>Observation</w:t>
      </w:r>
      <w:r w:rsidR="00153115">
        <w:rPr>
          <w:b/>
          <w:lang w:val="en-US" w:eastAsia="ko-KR"/>
        </w:rPr>
        <w:t xml:space="preserve"> 1</w:t>
      </w:r>
      <w:r>
        <w:rPr>
          <w:b/>
          <w:lang w:val="en-US" w:eastAsia="ko-KR"/>
        </w:rPr>
        <w:tab/>
      </w:r>
      <w:r w:rsidRPr="008E6C59">
        <w:rPr>
          <w:b/>
          <w:lang w:val="en-US" w:eastAsia="ko-KR"/>
        </w:rPr>
        <w:t>NTN cell broadcasts information to UEs whether the UEs are able to not perform TN frequency measurement via SIB19.</w:t>
      </w:r>
    </w:p>
    <w:p w14:paraId="50FA27F6" w14:textId="2F477A2A" w:rsidR="00260FAF" w:rsidRPr="008E6C59" w:rsidRDefault="00260FAF" w:rsidP="00260FAF">
      <w:pPr>
        <w:ind w:left="1374" w:hangingChars="700" w:hanging="1374"/>
        <w:jc w:val="both"/>
        <w:rPr>
          <w:b/>
          <w:lang w:val="en-US" w:eastAsia="ko-KR"/>
        </w:rPr>
      </w:pPr>
      <w:r>
        <w:rPr>
          <w:b/>
          <w:lang w:val="en-US" w:eastAsia="ko-KR"/>
        </w:rPr>
        <w:t>Observation 2</w:t>
      </w:r>
      <w:r>
        <w:rPr>
          <w:b/>
          <w:lang w:val="en-US" w:eastAsia="ko-KR"/>
        </w:rPr>
        <w:tab/>
      </w:r>
      <w:r w:rsidRPr="008E6C59">
        <w:rPr>
          <w:b/>
          <w:lang w:val="en-US" w:eastAsia="ko-KR"/>
        </w:rPr>
        <w:t xml:space="preserve">Broadcasting direct TN coverage may </w:t>
      </w:r>
      <w:r>
        <w:rPr>
          <w:b/>
          <w:lang w:val="en-US" w:eastAsia="ko-KR"/>
        </w:rPr>
        <w:t>cause security issue</w:t>
      </w:r>
      <w:r w:rsidRPr="008E6C59">
        <w:rPr>
          <w:b/>
          <w:lang w:val="en-US" w:eastAsia="ko-KR"/>
        </w:rPr>
        <w:t xml:space="preserve">, </w:t>
      </w:r>
      <w:r>
        <w:rPr>
          <w:b/>
          <w:lang w:val="en-US" w:eastAsia="ko-KR"/>
        </w:rPr>
        <w:t>in which accurate cell coverage information is confidential for mobile network operator.</w:t>
      </w:r>
    </w:p>
    <w:p w14:paraId="71EB3674" w14:textId="24FC0CD5" w:rsidR="00983ED8" w:rsidRPr="001101F5" w:rsidRDefault="00153115" w:rsidP="00260FAF">
      <w:pPr>
        <w:ind w:left="1419" w:hangingChars="723" w:hanging="1419"/>
        <w:jc w:val="both"/>
        <w:rPr>
          <w:b/>
          <w:bCs/>
          <w:lang w:eastAsia="ko-KR"/>
        </w:rPr>
      </w:pPr>
      <w:r>
        <w:rPr>
          <w:rFonts w:hint="eastAsia"/>
          <w:b/>
          <w:lang w:val="en-US" w:eastAsia="ko-KR"/>
        </w:rPr>
        <w:t>Proposal 1</w:t>
      </w:r>
      <w:r w:rsidR="00D876CA">
        <w:rPr>
          <w:b/>
          <w:lang w:val="en-US" w:eastAsia="ko-KR"/>
        </w:rPr>
        <w:tab/>
      </w:r>
      <w:r w:rsidR="00260FAF" w:rsidRPr="008E6C59">
        <w:rPr>
          <w:rFonts w:hint="eastAsia"/>
          <w:b/>
          <w:lang w:val="en-US" w:eastAsia="ko-KR"/>
        </w:rPr>
        <w:t xml:space="preserve">The NTN cell provides an assistance information indicating an area only covered by NTN. </w:t>
      </w:r>
      <w:r w:rsidR="00260FAF" w:rsidRPr="008E6C59">
        <w:rPr>
          <w:b/>
          <w:lang w:val="en-US" w:eastAsia="ko-KR"/>
        </w:rPr>
        <w:t>The assistance information consists of t</w:t>
      </w:r>
      <w:r w:rsidR="00260FAF" w:rsidRPr="008E6C59">
        <w:rPr>
          <w:rFonts w:hint="eastAsia"/>
          <w:b/>
          <w:lang w:val="en-US" w:eastAsia="ko-KR"/>
        </w:rPr>
        <w:t xml:space="preserve">he reference location and distance </w:t>
      </w:r>
      <w:r w:rsidR="00260FAF" w:rsidRPr="008E6C59">
        <w:rPr>
          <w:b/>
          <w:lang w:val="en-US" w:eastAsia="ko-KR"/>
        </w:rPr>
        <w:t>threshold</w:t>
      </w:r>
      <w:r w:rsidR="00260FAF" w:rsidRPr="008E6C59">
        <w:rPr>
          <w:rFonts w:hint="eastAsia"/>
          <w:b/>
          <w:lang w:val="en-US" w:eastAsia="ko-KR"/>
        </w:rPr>
        <w:t>.</w:t>
      </w:r>
    </w:p>
    <w:p w14:paraId="2827EB6C" w14:textId="045F4895" w:rsidR="00A26AF2" w:rsidRDefault="00D75919" w:rsidP="00882D3D">
      <w:pPr>
        <w:pStyle w:val="1"/>
        <w:rPr>
          <w:lang w:eastAsia="ko-KR"/>
        </w:rPr>
      </w:pPr>
      <w:r>
        <w:rPr>
          <w:rFonts w:hint="eastAsia"/>
          <w:lang w:eastAsia="ko-KR"/>
        </w:rPr>
        <w:t>4. References</w:t>
      </w:r>
    </w:p>
    <w:p w14:paraId="68191ACE" w14:textId="3665CE58" w:rsidR="009B1A46" w:rsidRPr="00153115" w:rsidRDefault="00297CAE" w:rsidP="002467FC">
      <w:pPr>
        <w:rPr>
          <w:lang w:eastAsia="ko-KR"/>
        </w:rPr>
      </w:pPr>
      <w:r>
        <w:rPr>
          <w:lang w:eastAsia="ko-KR"/>
        </w:rPr>
        <w:t xml:space="preserve">[1] </w:t>
      </w:r>
      <w:r w:rsidR="00CF54F3">
        <w:rPr>
          <w:lang w:eastAsia="ko-KR"/>
        </w:rPr>
        <w:t xml:space="preserve">R2-2210860, </w:t>
      </w:r>
      <w:r w:rsidR="00CF54F3" w:rsidRPr="00CF54F3">
        <w:rPr>
          <w:lang w:eastAsia="ko-KR"/>
        </w:rPr>
        <w:t>R2-2210860 Report of [AT119bis-e][117][NR NTN Enh] cell reselection enhancements (Intel)</w:t>
      </w:r>
      <w:r w:rsidR="00CF54F3">
        <w:rPr>
          <w:lang w:eastAsia="ko-KR"/>
        </w:rPr>
        <w:t>, Intel</w:t>
      </w:r>
    </w:p>
    <w:sectPr w:rsidR="009B1A46" w:rsidRPr="00153115"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EF3AF" w14:textId="77777777" w:rsidR="00672FE2" w:rsidRDefault="00672FE2">
      <w:pPr>
        <w:pStyle w:val="1"/>
      </w:pPr>
      <w:r>
        <w:separator/>
      </w:r>
    </w:p>
  </w:endnote>
  <w:endnote w:type="continuationSeparator" w:id="0">
    <w:p w14:paraId="5B54154F" w14:textId="77777777" w:rsidR="00672FE2" w:rsidRDefault="00672FE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D00BD">
      <w:rPr>
        <w:rStyle w:val="af1"/>
      </w:rPr>
      <w:t>2</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3C105" w14:textId="77777777" w:rsidR="00672FE2" w:rsidRDefault="00672FE2">
      <w:pPr>
        <w:pStyle w:val="1"/>
      </w:pPr>
      <w:r>
        <w:separator/>
      </w:r>
    </w:p>
  </w:footnote>
  <w:footnote w:type="continuationSeparator" w:id="0">
    <w:p w14:paraId="5C8E6B63" w14:textId="77777777" w:rsidR="00672FE2" w:rsidRDefault="00672FE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3B5EAD"/>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1">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6"/>
  </w:num>
  <w:num w:numId="4">
    <w:abstractNumId w:val="32"/>
  </w:num>
  <w:num w:numId="5">
    <w:abstractNumId w:val="17"/>
  </w:num>
  <w:num w:numId="6">
    <w:abstractNumId w:val="29"/>
  </w:num>
  <w:num w:numId="7">
    <w:abstractNumId w:val="10"/>
  </w:num>
  <w:num w:numId="8">
    <w:abstractNumId w:val="23"/>
  </w:num>
  <w:num w:numId="9">
    <w:abstractNumId w:val="27"/>
  </w:num>
  <w:num w:numId="10">
    <w:abstractNumId w:val="15"/>
  </w:num>
  <w:num w:numId="11">
    <w:abstractNumId w:val="20"/>
  </w:num>
  <w:num w:numId="12">
    <w:abstractNumId w:val="8"/>
  </w:num>
  <w:num w:numId="13">
    <w:abstractNumId w:val="12"/>
  </w:num>
  <w:num w:numId="14">
    <w:abstractNumId w:val="9"/>
  </w:num>
  <w:num w:numId="15">
    <w:abstractNumId w:val="30"/>
  </w:num>
  <w:num w:numId="16">
    <w:abstractNumId w:val="3"/>
  </w:num>
  <w:num w:numId="17">
    <w:abstractNumId w:val="11"/>
  </w:num>
  <w:num w:numId="18">
    <w:abstractNumId w:val="4"/>
  </w:num>
  <w:num w:numId="19">
    <w:abstractNumId w:val="6"/>
  </w:num>
  <w:num w:numId="20">
    <w:abstractNumId w:val="5"/>
  </w:num>
  <w:num w:numId="21">
    <w:abstractNumId w:val="0"/>
  </w:num>
  <w:num w:numId="22">
    <w:abstractNumId w:val="26"/>
  </w:num>
  <w:num w:numId="23">
    <w:abstractNumId w:val="19"/>
  </w:num>
  <w:num w:numId="24">
    <w:abstractNumId w:val="7"/>
  </w:num>
  <w:num w:numId="25">
    <w:abstractNumId w:val="28"/>
  </w:num>
  <w:num w:numId="26">
    <w:abstractNumId w:val="18"/>
  </w:num>
  <w:num w:numId="27">
    <w:abstractNumId w:val="22"/>
  </w:num>
  <w:num w:numId="28">
    <w:abstractNumId w:val="25"/>
  </w:num>
  <w:num w:numId="29">
    <w:abstractNumId w:val="21"/>
  </w:num>
  <w:num w:numId="30">
    <w:abstractNumId w:val="31"/>
  </w:num>
  <w:num w:numId="31">
    <w:abstractNumId w:val="24"/>
  </w:num>
  <w:num w:numId="32">
    <w:abstractNumId w:val="14"/>
  </w:num>
  <w:num w:numId="3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DDB"/>
    <w:rsid w:val="00011259"/>
    <w:rsid w:val="000143EF"/>
    <w:rsid w:val="00016D57"/>
    <w:rsid w:val="00020054"/>
    <w:rsid w:val="000251D3"/>
    <w:rsid w:val="000256B8"/>
    <w:rsid w:val="00034737"/>
    <w:rsid w:val="00034F13"/>
    <w:rsid w:val="00042645"/>
    <w:rsid w:val="00042A65"/>
    <w:rsid w:val="000436DD"/>
    <w:rsid w:val="000448EE"/>
    <w:rsid w:val="00053FB6"/>
    <w:rsid w:val="00054D20"/>
    <w:rsid w:val="000564A6"/>
    <w:rsid w:val="000566AC"/>
    <w:rsid w:val="0006174B"/>
    <w:rsid w:val="00063EE9"/>
    <w:rsid w:val="000653C0"/>
    <w:rsid w:val="000713E0"/>
    <w:rsid w:val="000846CA"/>
    <w:rsid w:val="000930EC"/>
    <w:rsid w:val="000931B5"/>
    <w:rsid w:val="00095033"/>
    <w:rsid w:val="000A1F68"/>
    <w:rsid w:val="000A23BA"/>
    <w:rsid w:val="000A5405"/>
    <w:rsid w:val="000A6528"/>
    <w:rsid w:val="000A751D"/>
    <w:rsid w:val="000B07E5"/>
    <w:rsid w:val="000B21EE"/>
    <w:rsid w:val="000B2583"/>
    <w:rsid w:val="000B2C8C"/>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1F9B"/>
    <w:rsid w:val="00144B2A"/>
    <w:rsid w:val="00146ED5"/>
    <w:rsid w:val="001474B4"/>
    <w:rsid w:val="00153115"/>
    <w:rsid w:val="00163BC4"/>
    <w:rsid w:val="00164FAE"/>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1F3B"/>
    <w:rsid w:val="00194531"/>
    <w:rsid w:val="00195DE1"/>
    <w:rsid w:val="00197C74"/>
    <w:rsid w:val="001A34D9"/>
    <w:rsid w:val="001A4B76"/>
    <w:rsid w:val="001A7E19"/>
    <w:rsid w:val="001B1961"/>
    <w:rsid w:val="001B20FB"/>
    <w:rsid w:val="001C06EF"/>
    <w:rsid w:val="001C2E7B"/>
    <w:rsid w:val="001C3EA1"/>
    <w:rsid w:val="001D093F"/>
    <w:rsid w:val="001D479A"/>
    <w:rsid w:val="001E0970"/>
    <w:rsid w:val="001E2299"/>
    <w:rsid w:val="001F0D95"/>
    <w:rsid w:val="001F5D2A"/>
    <w:rsid w:val="001F769D"/>
    <w:rsid w:val="00202644"/>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0FAF"/>
    <w:rsid w:val="002610FB"/>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E1428"/>
    <w:rsid w:val="002E6178"/>
    <w:rsid w:val="002F298F"/>
    <w:rsid w:val="002F41C3"/>
    <w:rsid w:val="002F6719"/>
    <w:rsid w:val="002F7B14"/>
    <w:rsid w:val="00300ED9"/>
    <w:rsid w:val="00302303"/>
    <w:rsid w:val="0030295F"/>
    <w:rsid w:val="00302E15"/>
    <w:rsid w:val="00305343"/>
    <w:rsid w:val="00312345"/>
    <w:rsid w:val="003145CA"/>
    <w:rsid w:val="00314685"/>
    <w:rsid w:val="00321F7F"/>
    <w:rsid w:val="003221F4"/>
    <w:rsid w:val="003263CE"/>
    <w:rsid w:val="00330BEF"/>
    <w:rsid w:val="003334D4"/>
    <w:rsid w:val="003355B2"/>
    <w:rsid w:val="003372B8"/>
    <w:rsid w:val="003433E1"/>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D2581"/>
    <w:rsid w:val="003D4331"/>
    <w:rsid w:val="003D5E24"/>
    <w:rsid w:val="003D6362"/>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32698"/>
    <w:rsid w:val="00432CA6"/>
    <w:rsid w:val="00433F7E"/>
    <w:rsid w:val="004404D5"/>
    <w:rsid w:val="00440920"/>
    <w:rsid w:val="00441C6A"/>
    <w:rsid w:val="00444BB2"/>
    <w:rsid w:val="00450F16"/>
    <w:rsid w:val="004511D0"/>
    <w:rsid w:val="00452E1E"/>
    <w:rsid w:val="00453784"/>
    <w:rsid w:val="00457BFA"/>
    <w:rsid w:val="004601A5"/>
    <w:rsid w:val="00460783"/>
    <w:rsid w:val="00460E18"/>
    <w:rsid w:val="004633B1"/>
    <w:rsid w:val="00463C25"/>
    <w:rsid w:val="00464820"/>
    <w:rsid w:val="00465BA5"/>
    <w:rsid w:val="00467C38"/>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71C"/>
    <w:rsid w:val="00534844"/>
    <w:rsid w:val="00534AFE"/>
    <w:rsid w:val="00536961"/>
    <w:rsid w:val="00541616"/>
    <w:rsid w:val="00545A14"/>
    <w:rsid w:val="005539D3"/>
    <w:rsid w:val="005546C1"/>
    <w:rsid w:val="00557497"/>
    <w:rsid w:val="00562741"/>
    <w:rsid w:val="00563EFC"/>
    <w:rsid w:val="00564CEC"/>
    <w:rsid w:val="00567D6D"/>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106"/>
    <w:rsid w:val="005E326E"/>
    <w:rsid w:val="005F5A1D"/>
    <w:rsid w:val="005F79F6"/>
    <w:rsid w:val="00603257"/>
    <w:rsid w:val="00604A5A"/>
    <w:rsid w:val="00604C36"/>
    <w:rsid w:val="0061089C"/>
    <w:rsid w:val="00610E21"/>
    <w:rsid w:val="00611539"/>
    <w:rsid w:val="00611F7A"/>
    <w:rsid w:val="00612C7B"/>
    <w:rsid w:val="00613498"/>
    <w:rsid w:val="00616310"/>
    <w:rsid w:val="00620634"/>
    <w:rsid w:val="006234AF"/>
    <w:rsid w:val="00624F2D"/>
    <w:rsid w:val="00626987"/>
    <w:rsid w:val="00627D80"/>
    <w:rsid w:val="006300F9"/>
    <w:rsid w:val="00630C09"/>
    <w:rsid w:val="00632E3E"/>
    <w:rsid w:val="0063387B"/>
    <w:rsid w:val="00634D51"/>
    <w:rsid w:val="0063502F"/>
    <w:rsid w:val="0063554F"/>
    <w:rsid w:val="006375B8"/>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72FE2"/>
    <w:rsid w:val="0068043D"/>
    <w:rsid w:val="0068044F"/>
    <w:rsid w:val="00681E5A"/>
    <w:rsid w:val="00682375"/>
    <w:rsid w:val="00682C11"/>
    <w:rsid w:val="00684E1B"/>
    <w:rsid w:val="00687858"/>
    <w:rsid w:val="00693618"/>
    <w:rsid w:val="006944A1"/>
    <w:rsid w:val="006957BB"/>
    <w:rsid w:val="00695C4B"/>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93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6355E"/>
    <w:rsid w:val="007666D7"/>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5090"/>
    <w:rsid w:val="0085627A"/>
    <w:rsid w:val="00857A0E"/>
    <w:rsid w:val="00861781"/>
    <w:rsid w:val="00864F24"/>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6B02"/>
    <w:rsid w:val="00897E11"/>
    <w:rsid w:val="008A380B"/>
    <w:rsid w:val="008A4CFF"/>
    <w:rsid w:val="008A61C3"/>
    <w:rsid w:val="008B3E2D"/>
    <w:rsid w:val="008B3EE6"/>
    <w:rsid w:val="008B62E2"/>
    <w:rsid w:val="008B70AF"/>
    <w:rsid w:val="008C5879"/>
    <w:rsid w:val="008D1943"/>
    <w:rsid w:val="008D2A00"/>
    <w:rsid w:val="008D3128"/>
    <w:rsid w:val="008D401E"/>
    <w:rsid w:val="008D6C96"/>
    <w:rsid w:val="008D744F"/>
    <w:rsid w:val="008E310D"/>
    <w:rsid w:val="008E54E1"/>
    <w:rsid w:val="008E5641"/>
    <w:rsid w:val="008E6C59"/>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4286"/>
    <w:rsid w:val="00AF5C49"/>
    <w:rsid w:val="00AF647C"/>
    <w:rsid w:val="00B00BF8"/>
    <w:rsid w:val="00B01C24"/>
    <w:rsid w:val="00B02523"/>
    <w:rsid w:val="00B04886"/>
    <w:rsid w:val="00B06C07"/>
    <w:rsid w:val="00B10563"/>
    <w:rsid w:val="00B10736"/>
    <w:rsid w:val="00B15C88"/>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E31"/>
    <w:rsid w:val="00BA4EFE"/>
    <w:rsid w:val="00BA5717"/>
    <w:rsid w:val="00BA68C8"/>
    <w:rsid w:val="00BB53FD"/>
    <w:rsid w:val="00BB6186"/>
    <w:rsid w:val="00BC0C59"/>
    <w:rsid w:val="00BD38F3"/>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384"/>
    <w:rsid w:val="00CF3A80"/>
    <w:rsid w:val="00CF54F3"/>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876CA"/>
    <w:rsid w:val="00D915E7"/>
    <w:rsid w:val="00D91D1D"/>
    <w:rsid w:val="00D939C7"/>
    <w:rsid w:val="00DB27BA"/>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061E3"/>
    <w:rsid w:val="00E125C3"/>
    <w:rsid w:val="00E12EB9"/>
    <w:rsid w:val="00E142EE"/>
    <w:rsid w:val="00E1436A"/>
    <w:rsid w:val="00E15D83"/>
    <w:rsid w:val="00E1690E"/>
    <w:rsid w:val="00E20CC2"/>
    <w:rsid w:val="00E22045"/>
    <w:rsid w:val="00E22AFC"/>
    <w:rsid w:val="00E26AC0"/>
    <w:rsid w:val="00E31FED"/>
    <w:rsid w:val="00E32EA4"/>
    <w:rsid w:val="00E33EF8"/>
    <w:rsid w:val="00E35889"/>
    <w:rsid w:val="00E359BC"/>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686A"/>
    <w:rsid w:val="00EC7BEA"/>
    <w:rsid w:val="00ED3648"/>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0681"/>
    <w:rsid w:val="00F54A6E"/>
    <w:rsid w:val="00F56D84"/>
    <w:rsid w:val="00F6168D"/>
    <w:rsid w:val="00F63AEA"/>
    <w:rsid w:val="00F66802"/>
    <w:rsid w:val="00F668C0"/>
    <w:rsid w:val="00F71068"/>
    <w:rsid w:val="00F715B1"/>
    <w:rsid w:val="00F71F54"/>
    <w:rsid w:val="00F7387C"/>
    <w:rsid w:val="00F74EAC"/>
    <w:rsid w:val="00F8196E"/>
    <w:rsid w:val="00F819BE"/>
    <w:rsid w:val="00F83A0C"/>
    <w:rsid w:val="00F85850"/>
    <w:rsid w:val="00F87ADC"/>
    <w:rsid w:val="00F92534"/>
    <w:rsid w:val="00F978D6"/>
    <w:rsid w:val="00FA0A33"/>
    <w:rsid w:val="00FA33FA"/>
    <w:rsid w:val="00FA348B"/>
    <w:rsid w:val="00FA6F1B"/>
    <w:rsid w:val="00FB014F"/>
    <w:rsid w:val="00FB4238"/>
    <w:rsid w:val="00FB53E7"/>
    <w:rsid w:val="00FB7ADD"/>
    <w:rsid w:val="00FC3A97"/>
    <w:rsid w:val="00FD00BD"/>
    <w:rsid w:val="00FD192F"/>
    <w:rsid w:val="00FD1962"/>
    <w:rsid w:val="00FD3481"/>
    <w:rsid w:val="00FD34B7"/>
    <w:rsid w:val="00FD6AD1"/>
    <w:rsid w:val="00FD6EED"/>
    <w:rsid w:val="00FD7598"/>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CD875C0A-B378-41A2-9DB9-E29B45AA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1289</TotalTime>
  <Pages>2</Pages>
  <Words>613</Words>
  <Characters>3498</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32</cp:revision>
  <cp:lastPrinted>2014-08-09T03:01:00Z</cp:lastPrinted>
  <dcterms:created xsi:type="dcterms:W3CDTF">2022-09-14T07:23:00Z</dcterms:created>
  <dcterms:modified xsi:type="dcterms:W3CDTF">2022-11-04T07:45:00Z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